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300" w:afterAutospacing="0" w:line="440" w:lineRule="exact"/>
        <w:ind w:left="420" w:leftChars="200" w:right="0" w:firstLine="0" w:firstLineChars="0"/>
        <w:jc w:val="center"/>
        <w:textAlignment w:val="auto"/>
        <w:rPr>
          <w:rFonts w:hint="eastAsia" w:ascii="仿宋" w:hAnsi="仿宋" w:eastAsia="仿宋" w:cs="仿宋"/>
          <w:i w:val="0"/>
          <w:caps w:val="0"/>
          <w:color w:val="000000"/>
          <w:spacing w:val="0"/>
          <w:sz w:val="36"/>
          <w:szCs w:val="36"/>
        </w:rPr>
      </w:pPr>
      <w:r>
        <w:rPr>
          <w:rFonts w:hint="eastAsia" w:ascii="仿宋" w:hAnsi="仿宋" w:eastAsia="仿宋" w:cs="仿宋"/>
          <w:b/>
          <w:i w:val="0"/>
          <w:caps w:val="0"/>
          <w:color w:val="000000"/>
          <w:spacing w:val="0"/>
          <w:sz w:val="36"/>
          <w:szCs w:val="36"/>
          <w:shd w:val="clear" w:fill="FFFFFF"/>
        </w:rPr>
        <w:t>竞 买 须 知</w:t>
      </w:r>
    </w:p>
    <w:p>
      <w:pPr>
        <w:numPr>
          <w:ilvl w:val="0"/>
          <w:numId w:val="1"/>
        </w:numPr>
        <w:ind w:firstLine="600" w:firstLineChars="200"/>
        <w:rPr>
          <w:rFonts w:hint="eastAsia" w:ascii="仿宋" w:hAnsi="仿宋" w:eastAsia="仿宋" w:cs="仿宋"/>
          <w:i w:val="0"/>
          <w:caps w:val="0"/>
          <w:color w:val="000000"/>
          <w:spacing w:val="0"/>
          <w:sz w:val="30"/>
          <w:szCs w:val="30"/>
          <w:highlight w:val="none"/>
          <w:shd w:val="clear" w:fill="FFFFFF"/>
        </w:rPr>
      </w:pPr>
      <w:r>
        <w:rPr>
          <w:rFonts w:hint="eastAsia" w:ascii="仿宋" w:hAnsi="仿宋" w:eastAsia="仿宋" w:cs="仿宋"/>
          <w:i w:val="0"/>
          <w:caps w:val="0"/>
          <w:color w:val="000000"/>
          <w:spacing w:val="0"/>
          <w:sz w:val="30"/>
          <w:szCs w:val="30"/>
          <w:shd w:val="clear" w:fill="FFFFFF"/>
        </w:rPr>
        <w:t>标的展示</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1、有意参与的意向方（参加</w:t>
      </w:r>
      <w:r>
        <w:rPr>
          <w:rFonts w:hint="eastAsia" w:ascii="仿宋" w:hAnsi="仿宋" w:eastAsia="仿宋" w:cs="仿宋"/>
          <w:i w:val="0"/>
          <w:caps w:val="0"/>
          <w:color w:val="000000"/>
          <w:spacing w:val="0"/>
          <w:sz w:val="30"/>
          <w:szCs w:val="30"/>
          <w:shd w:val="clear" w:fill="FFFFFF"/>
          <w:lang w:eastAsia="zh-CN"/>
        </w:rPr>
        <w:t>交易</w:t>
      </w:r>
      <w:r>
        <w:rPr>
          <w:rFonts w:hint="eastAsia" w:ascii="仿宋" w:hAnsi="仿宋" w:eastAsia="仿宋" w:cs="仿宋"/>
          <w:i w:val="0"/>
          <w:caps w:val="0"/>
          <w:color w:val="000000"/>
          <w:spacing w:val="0"/>
          <w:sz w:val="30"/>
          <w:szCs w:val="30"/>
          <w:shd w:val="clear" w:fill="FFFFFF"/>
        </w:rPr>
        <w:t>会的公司）可以自行或在河南豫财拍卖有限公司（以下简称我公司）的统一组织下对挂牌标的进行实地勘察、咨询、了解挂牌标的物及挂牌活动的详细情况。有意参与的意向方一经办理竞买手续，参加竞价，即视为已完全了解有关挂牌活动的全部内容，认可挂牌标的现状，并应承担参加网上交易活动所产生的一切法律责任。</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2、依据有关法律规定，我公司将按挂牌标的展示现状进行挂牌，对挂牌标的不负任何品质瑕疵担保责任。有意参与的意向方在竞价前须认真考察，充分了解有关挂牌标的瑕疵状况等事项，成交之后不得再以此为由提出任何异议。</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3、挂牌标的资料是对挂牌标的的一般性介绍。我公司或其代理人对挂牌标的任何方式（包括网站、微信、印刷、图像、资料、新闻媒体等）所作的介绍及评价，均为参考性意见，不构成对挂牌标的的任何担保。</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二、挂牌方式</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本次挂牌采取网络增价挂牌的方式。</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 三、意向方资格</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highlight w:val="none"/>
          <w:shd w:val="clear" w:fill="FFFFFF"/>
        </w:rPr>
        <w:t>   </w:t>
      </w:r>
      <w:r>
        <w:rPr>
          <w:rFonts w:hint="eastAsia" w:ascii="仿宋" w:hAnsi="仿宋" w:eastAsia="仿宋" w:cs="仿宋"/>
          <w:i w:val="0"/>
          <w:caps w:val="0"/>
          <w:color w:val="000000"/>
          <w:spacing w:val="0"/>
          <w:sz w:val="30"/>
          <w:szCs w:val="30"/>
          <w:highlight w:val="none"/>
          <w:shd w:val="clear" w:fill="FFFFFF"/>
          <w:lang w:val="en-US" w:eastAsia="zh-CN"/>
        </w:rPr>
        <w:t xml:space="preserve">  </w:t>
      </w:r>
      <w:r>
        <w:rPr>
          <w:rFonts w:hint="eastAsia" w:ascii="仿宋" w:hAnsi="仿宋" w:eastAsia="仿宋" w:cs="仿宋"/>
          <w:i w:val="0"/>
          <w:caps w:val="0"/>
          <w:color w:val="000000"/>
          <w:spacing w:val="0"/>
          <w:sz w:val="30"/>
          <w:szCs w:val="30"/>
          <w:highlight w:val="none"/>
          <w:shd w:val="clear" w:fill="FFFFFF"/>
        </w:rPr>
        <w:t>中华人民共和国境内自然人、注册通过年审的企业法人或其他社会组织均可参加竞买</w:t>
      </w:r>
      <w:r>
        <w:rPr>
          <w:rFonts w:hint="eastAsia" w:ascii="仿宋" w:hAnsi="仿宋" w:eastAsia="仿宋" w:cs="仿宋"/>
          <w:i w:val="0"/>
          <w:caps w:val="0"/>
          <w:color w:val="000000"/>
          <w:spacing w:val="0"/>
          <w:sz w:val="30"/>
          <w:szCs w:val="30"/>
          <w:highlight w:val="none"/>
          <w:shd w:val="clear" w:fill="FFFFFF"/>
          <w:lang w:eastAsia="zh-CN"/>
        </w:rPr>
        <w:t>；法律、法规、规章规定不能参加竞买的除外。</w:t>
      </w:r>
    </w:p>
    <w:p>
      <w:pPr>
        <w:numPr>
          <w:ilvl w:val="0"/>
          <w:numId w:val="0"/>
        </w:numPr>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四、竞买事项</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1、有意参与的意向方</w:t>
      </w:r>
      <w:r>
        <w:rPr>
          <w:rFonts w:hint="eastAsia" w:ascii="仿宋" w:hAnsi="仿宋" w:eastAsia="仿宋" w:cs="仿宋"/>
          <w:i w:val="0"/>
          <w:caps w:val="0"/>
          <w:color w:val="000000"/>
          <w:spacing w:val="0"/>
          <w:sz w:val="30"/>
          <w:szCs w:val="30"/>
          <w:shd w:val="clear" w:fill="FFFFFF"/>
          <w:lang w:val="en-US" w:eastAsia="zh-CN"/>
        </w:rPr>
        <w:t>可</w:t>
      </w:r>
      <w:r>
        <w:rPr>
          <w:rFonts w:hint="eastAsia" w:ascii="仿宋" w:hAnsi="仿宋" w:eastAsia="仿宋" w:cs="仿宋"/>
          <w:i w:val="0"/>
          <w:caps w:val="0"/>
          <w:color w:val="000000"/>
          <w:spacing w:val="0"/>
          <w:sz w:val="30"/>
          <w:szCs w:val="30"/>
          <w:shd w:val="clear" w:fill="FFFFFF"/>
        </w:rPr>
        <w:t>登录中牟县公共资源交易中心（http://www.zmxggzy.com）注册竞买人账户，通过审核后在竞买人操作后台线上报名</w:t>
      </w:r>
    </w:p>
    <w:p>
      <w:pPr>
        <w:numPr>
          <w:ilvl w:val="0"/>
          <w:numId w:val="0"/>
        </w:numPr>
        <w:rPr>
          <w:rFonts w:hint="eastAsia" w:ascii="仿宋" w:hAnsi="仿宋" w:eastAsia="仿宋" w:cs="仿宋"/>
          <w:i w:val="0"/>
          <w:caps w:val="0"/>
          <w:color w:val="000000"/>
          <w:spacing w:val="0"/>
          <w:sz w:val="30"/>
          <w:szCs w:val="30"/>
          <w:shd w:val="clear" w:fill="FFFFFF"/>
        </w:rPr>
      </w:pP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2、</w:t>
      </w:r>
      <w:r>
        <w:rPr>
          <w:rFonts w:hint="eastAsia" w:ascii="仿宋" w:hAnsi="仿宋" w:eastAsia="仿宋" w:cs="仿宋"/>
          <w:i w:val="0"/>
          <w:caps w:val="0"/>
          <w:color w:val="000000"/>
          <w:spacing w:val="0"/>
          <w:sz w:val="30"/>
          <w:szCs w:val="30"/>
          <w:highlight w:val="none"/>
          <w:shd w:val="clear" w:fill="FFFFFF"/>
        </w:rPr>
        <w:t>2021年</w:t>
      </w:r>
      <w:r>
        <w:rPr>
          <w:rFonts w:hint="eastAsia" w:ascii="仿宋" w:hAnsi="仿宋" w:eastAsia="仿宋" w:cs="仿宋"/>
          <w:i w:val="0"/>
          <w:caps w:val="0"/>
          <w:color w:val="000000"/>
          <w:spacing w:val="0"/>
          <w:sz w:val="30"/>
          <w:szCs w:val="30"/>
          <w:highlight w:val="none"/>
          <w:shd w:val="clear" w:fill="FFFFFF"/>
          <w:lang w:val="en-US" w:eastAsia="zh-CN"/>
        </w:rPr>
        <w:t>10</w:t>
      </w:r>
      <w:r>
        <w:rPr>
          <w:rFonts w:hint="eastAsia" w:ascii="仿宋" w:hAnsi="仿宋" w:eastAsia="仿宋" w:cs="仿宋"/>
          <w:i w:val="0"/>
          <w:caps w:val="0"/>
          <w:color w:val="000000"/>
          <w:spacing w:val="0"/>
          <w:sz w:val="30"/>
          <w:szCs w:val="30"/>
          <w:highlight w:val="none"/>
          <w:shd w:val="clear" w:fill="FFFFFF"/>
        </w:rPr>
        <w:t>月</w:t>
      </w:r>
      <w:r>
        <w:rPr>
          <w:rFonts w:hint="eastAsia" w:ascii="仿宋" w:hAnsi="仿宋" w:eastAsia="仿宋" w:cs="仿宋"/>
          <w:i w:val="0"/>
          <w:caps w:val="0"/>
          <w:color w:val="000000"/>
          <w:spacing w:val="0"/>
          <w:sz w:val="30"/>
          <w:szCs w:val="30"/>
          <w:highlight w:val="none"/>
          <w:shd w:val="clear" w:fill="FFFFFF"/>
          <w:lang w:val="en-US" w:eastAsia="zh-CN"/>
        </w:rPr>
        <w:t>13</w:t>
      </w:r>
      <w:r>
        <w:rPr>
          <w:rFonts w:hint="eastAsia" w:ascii="仿宋" w:hAnsi="仿宋" w:eastAsia="仿宋" w:cs="仿宋"/>
          <w:i w:val="0"/>
          <w:caps w:val="0"/>
          <w:color w:val="000000"/>
          <w:spacing w:val="0"/>
          <w:sz w:val="30"/>
          <w:szCs w:val="30"/>
          <w:highlight w:val="none"/>
          <w:shd w:val="clear" w:fill="FFFFFF"/>
        </w:rPr>
        <w:t>日</w:t>
      </w:r>
      <w:r>
        <w:rPr>
          <w:rFonts w:hint="eastAsia" w:ascii="仿宋" w:hAnsi="仿宋" w:eastAsia="仿宋" w:cs="仿宋"/>
          <w:i w:val="0"/>
          <w:caps w:val="0"/>
          <w:color w:val="000000"/>
          <w:spacing w:val="0"/>
          <w:sz w:val="30"/>
          <w:szCs w:val="30"/>
          <w:shd w:val="clear" w:fill="FFFFFF"/>
        </w:rPr>
        <w:t>17时前（以实际到账为准）向中牟县公共资源交易中心自动生成的指定银行账户转账交纳每个标的30000元的竞买保证金，而后持身份证原件（公司参加竞买持被授权人身份证、机构营业执照、授权委托书）到我公司办理竞买登记手续，认同竞买须知、签署承诺书。若竞买不成功，竞买保证金于项目成交公示发布后由中牟县公共资源交易中心全额无息原路退还。</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3</w:t>
      </w:r>
      <w:r>
        <w:rPr>
          <w:rFonts w:hint="eastAsia" w:ascii="仿宋" w:hAnsi="仿宋" w:eastAsia="仿宋" w:cs="仿宋"/>
          <w:i w:val="0"/>
          <w:caps w:val="0"/>
          <w:color w:val="000000"/>
          <w:spacing w:val="0"/>
          <w:sz w:val="30"/>
          <w:szCs w:val="30"/>
          <w:shd w:val="clear" w:fill="FFFFFF"/>
        </w:rPr>
        <w:t>、意向方可以随时进入平台修改密码，凡以意向方的帐号和密码登陆后进行的操作，均被视为意向方的行为，意向方应当对以其帐号进行的所有活动和事件负法律责任。</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意向方不应将其帐号、密码转让或出借予他人/组织使用。意向方发现其帐号遭他人非法使用，应立即通知我公司。因黑客行为或用户故意或者过失导致帐号、密码遭他人非法使用，我公司不承担任何责任。</w:t>
      </w:r>
    </w:p>
    <w:p>
      <w:pPr>
        <w:numPr>
          <w:ilvl w:val="0"/>
          <w:numId w:val="2"/>
        </w:numPr>
        <w:ind w:firstLine="600" w:firstLineChars="200"/>
        <w:rPr>
          <w:rFonts w:hint="eastAsia"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rPr>
        <w:t>本次挂牌是经法定公告期和展示期后才举行的，请意向方在竞价开始前实地踏勘挂牌标的，调查是否存在瑕疵，认真研究查看所挂牌标的物的实际情况，未实地踏勘的意向方视为对本标的实物现状的确认，慎重决定竞买行为，有意参与的意向方一旦做出竞买决定，即表明已完全了解，并接受标的物的现状和一切已知及未知的瑕疵。</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六、买受人在挂牌成交后，需向我公司另行支付</w:t>
      </w:r>
      <w:r>
        <w:rPr>
          <w:rFonts w:hint="eastAsia" w:ascii="仿宋" w:hAnsi="仿宋" w:eastAsia="仿宋" w:cs="仿宋"/>
          <w:i w:val="0"/>
          <w:caps w:val="0"/>
          <w:color w:val="000000"/>
          <w:spacing w:val="0"/>
          <w:sz w:val="30"/>
          <w:szCs w:val="30"/>
          <w:highlight w:val="none"/>
          <w:u w:val="none"/>
          <w:shd w:val="clear" w:fill="FFFFFF"/>
          <w:lang w:val="en-US" w:eastAsia="zh-CN"/>
        </w:rPr>
        <w:t>每个标的成交价款5%</w:t>
      </w:r>
      <w:r>
        <w:rPr>
          <w:rFonts w:hint="eastAsia" w:ascii="仿宋" w:hAnsi="仿宋" w:eastAsia="仿宋" w:cs="仿宋"/>
          <w:i w:val="0"/>
          <w:caps w:val="0"/>
          <w:color w:val="000000"/>
          <w:spacing w:val="0"/>
          <w:sz w:val="30"/>
          <w:szCs w:val="30"/>
          <w:highlight w:val="none"/>
          <w:u w:val="none"/>
          <w:shd w:val="clear" w:fill="FFFFFF"/>
        </w:rPr>
        <w:t>的</w:t>
      </w:r>
      <w:r>
        <w:rPr>
          <w:rFonts w:hint="eastAsia" w:ascii="仿宋" w:hAnsi="仿宋" w:eastAsia="仿宋" w:cs="仿宋"/>
          <w:i w:val="0"/>
          <w:caps w:val="0"/>
          <w:color w:val="000000"/>
          <w:spacing w:val="0"/>
          <w:sz w:val="30"/>
          <w:szCs w:val="30"/>
          <w:highlight w:val="none"/>
          <w:u w:val="none"/>
          <w:shd w:val="clear" w:fill="FFFFFF"/>
          <w:lang w:eastAsia="zh-CN"/>
        </w:rPr>
        <w:t>交易</w:t>
      </w:r>
      <w:r>
        <w:rPr>
          <w:rFonts w:hint="eastAsia" w:ascii="仿宋" w:hAnsi="仿宋" w:eastAsia="仿宋" w:cs="仿宋"/>
          <w:i w:val="0"/>
          <w:caps w:val="0"/>
          <w:color w:val="000000"/>
          <w:spacing w:val="0"/>
          <w:sz w:val="30"/>
          <w:szCs w:val="30"/>
          <w:highlight w:val="none"/>
          <w:u w:val="none"/>
          <w:shd w:val="clear" w:fill="FFFFFF"/>
        </w:rPr>
        <w:t>佣金。</w:t>
      </w:r>
      <w:r>
        <w:rPr>
          <w:rFonts w:hint="eastAsia" w:ascii="仿宋" w:hAnsi="仿宋" w:eastAsia="仿宋" w:cs="仿宋"/>
          <w:i w:val="0"/>
          <w:caps w:val="0"/>
          <w:color w:val="000000"/>
          <w:spacing w:val="0"/>
          <w:sz w:val="30"/>
          <w:szCs w:val="30"/>
          <w:highlight w:val="none"/>
          <w:u w:val="none"/>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七、成功竞得挂牌标的买受人，须在网上挂牌成交后2个工作日与我公司签署书面《成交确认书》。买受人拒绝签署《成交确认书》属于违约，我公司有权追究买受人的责任直至向法院提起诉讼。</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挂牌成交后，买受人须于</w:t>
      </w:r>
      <w:r>
        <w:rPr>
          <w:rFonts w:hint="eastAsia" w:ascii="仿宋" w:hAnsi="仿宋" w:eastAsia="仿宋" w:cs="仿宋"/>
          <w:i w:val="0"/>
          <w:caps w:val="0"/>
          <w:color w:val="000000"/>
          <w:spacing w:val="0"/>
          <w:sz w:val="30"/>
          <w:szCs w:val="30"/>
          <w:highlight w:val="none"/>
          <w:shd w:val="clear" w:fill="FFFFFF"/>
        </w:rPr>
        <w:t>2021年</w:t>
      </w:r>
      <w:r>
        <w:rPr>
          <w:rFonts w:hint="eastAsia" w:ascii="仿宋" w:hAnsi="仿宋" w:eastAsia="仿宋" w:cs="仿宋"/>
          <w:i w:val="0"/>
          <w:caps w:val="0"/>
          <w:color w:val="000000"/>
          <w:spacing w:val="0"/>
          <w:sz w:val="30"/>
          <w:szCs w:val="30"/>
          <w:highlight w:val="none"/>
          <w:shd w:val="clear" w:fill="FFFFFF"/>
          <w:lang w:val="en-US" w:eastAsia="zh-CN"/>
        </w:rPr>
        <w:t>10</w:t>
      </w:r>
      <w:r>
        <w:rPr>
          <w:rFonts w:hint="eastAsia" w:ascii="仿宋" w:hAnsi="仿宋" w:eastAsia="仿宋" w:cs="仿宋"/>
          <w:i w:val="0"/>
          <w:caps w:val="0"/>
          <w:color w:val="000000"/>
          <w:spacing w:val="0"/>
          <w:sz w:val="30"/>
          <w:szCs w:val="30"/>
          <w:highlight w:val="none"/>
          <w:shd w:val="clear" w:fill="FFFFFF"/>
        </w:rPr>
        <w:t>月</w:t>
      </w:r>
      <w:r>
        <w:rPr>
          <w:rFonts w:hint="eastAsia" w:ascii="仿宋" w:hAnsi="仿宋" w:eastAsia="仿宋" w:cs="仿宋"/>
          <w:i w:val="0"/>
          <w:caps w:val="0"/>
          <w:color w:val="000000"/>
          <w:spacing w:val="0"/>
          <w:sz w:val="30"/>
          <w:szCs w:val="30"/>
          <w:highlight w:val="none"/>
          <w:shd w:val="clear" w:fill="FFFFFF"/>
          <w:lang w:val="en-US" w:eastAsia="zh-CN"/>
        </w:rPr>
        <w:t>18</w:t>
      </w:r>
      <w:r>
        <w:rPr>
          <w:rFonts w:hint="eastAsia" w:ascii="仿宋" w:hAnsi="仿宋" w:eastAsia="仿宋" w:cs="仿宋"/>
          <w:i w:val="0"/>
          <w:caps w:val="0"/>
          <w:color w:val="000000"/>
          <w:spacing w:val="0"/>
          <w:sz w:val="30"/>
          <w:szCs w:val="30"/>
          <w:highlight w:val="none"/>
          <w:shd w:val="clear" w:fill="FFFFFF"/>
        </w:rPr>
        <w:t>日17时前（以实际到账为准）将全部成交价款（首年租金)、</w:t>
      </w:r>
      <w:r>
        <w:rPr>
          <w:rFonts w:hint="eastAsia" w:ascii="仿宋" w:hAnsi="仿宋" w:eastAsia="仿宋" w:cs="仿宋"/>
          <w:i w:val="0"/>
          <w:caps w:val="0"/>
          <w:color w:val="000000"/>
          <w:spacing w:val="0"/>
          <w:sz w:val="30"/>
          <w:szCs w:val="30"/>
          <w:highlight w:val="none"/>
          <w:shd w:val="clear" w:fill="FFFFFF"/>
          <w:lang w:val="en-US" w:eastAsia="zh-CN"/>
        </w:rPr>
        <w:t>租赁保证金（每个标的1万元）、</w:t>
      </w:r>
      <w:r>
        <w:rPr>
          <w:rFonts w:hint="eastAsia" w:ascii="仿宋" w:hAnsi="仿宋" w:eastAsia="仿宋" w:cs="仿宋"/>
          <w:i w:val="0"/>
          <w:caps w:val="0"/>
          <w:color w:val="000000"/>
          <w:spacing w:val="0"/>
          <w:sz w:val="30"/>
          <w:szCs w:val="30"/>
          <w:highlight w:val="none"/>
          <w:shd w:val="clear" w:fill="FFFFFF"/>
          <w:lang w:eastAsia="zh-CN"/>
        </w:rPr>
        <w:t>交易</w:t>
      </w:r>
      <w:r>
        <w:rPr>
          <w:rFonts w:hint="eastAsia" w:ascii="仿宋" w:hAnsi="仿宋" w:eastAsia="仿宋" w:cs="仿宋"/>
          <w:i w:val="0"/>
          <w:caps w:val="0"/>
          <w:color w:val="000000"/>
          <w:spacing w:val="0"/>
          <w:sz w:val="30"/>
          <w:szCs w:val="30"/>
          <w:highlight w:val="none"/>
          <w:shd w:val="clear" w:fill="FFFFFF"/>
        </w:rPr>
        <w:t>佣金交至拍卖人指定账户（户名：河南豫财拍卖有限公司、开户行：光大银行</w:t>
      </w:r>
      <w:r>
        <w:rPr>
          <w:rFonts w:hint="eastAsia" w:ascii="仿宋" w:hAnsi="仿宋" w:eastAsia="仿宋" w:cs="仿宋"/>
          <w:i w:val="0"/>
          <w:caps w:val="0"/>
          <w:color w:val="000000"/>
          <w:spacing w:val="0"/>
          <w:sz w:val="30"/>
          <w:szCs w:val="30"/>
          <w:shd w:val="clear" w:fill="FFFFFF"/>
        </w:rPr>
        <w:t>郑州文化路支行、账号：77160188000194035 )，否则按违约处理。</w:t>
      </w:r>
    </w:p>
    <w:p>
      <w:pPr>
        <w:numPr>
          <w:ilvl w:val="0"/>
          <w:numId w:val="0"/>
        </w:numPr>
        <w:ind w:firstLine="600" w:firstLineChars="200"/>
        <w:rPr>
          <w:rFonts w:hint="eastAsia"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lang w:val="en-US" w:eastAsia="zh-CN"/>
        </w:rPr>
        <w:t>买受人交纳全部款项后，竞买保证金由中牟县公共资源交易中心原路退回买受人。</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买受人逾期未支付</w:t>
      </w:r>
      <w:r>
        <w:rPr>
          <w:rFonts w:hint="eastAsia" w:ascii="仿宋" w:hAnsi="仿宋" w:eastAsia="仿宋" w:cs="仿宋"/>
          <w:i w:val="0"/>
          <w:caps w:val="0"/>
          <w:color w:val="000000"/>
          <w:spacing w:val="0"/>
          <w:sz w:val="30"/>
          <w:szCs w:val="30"/>
          <w:shd w:val="clear" w:fill="FFFFFF"/>
          <w:lang w:eastAsia="zh-CN"/>
        </w:rPr>
        <w:t>拍卖相关费用</w:t>
      </w:r>
      <w:r>
        <w:rPr>
          <w:rFonts w:hint="eastAsia" w:ascii="仿宋" w:hAnsi="仿宋" w:eastAsia="仿宋" w:cs="仿宋"/>
          <w:i w:val="0"/>
          <w:caps w:val="0"/>
          <w:color w:val="000000"/>
          <w:spacing w:val="0"/>
          <w:sz w:val="30"/>
          <w:szCs w:val="30"/>
          <w:shd w:val="clear" w:fill="FFFFFF"/>
        </w:rPr>
        <w:t>或有其他违约行为，无权要求返还竞买保证金，并根据《中华人民共和国拍卖法》第三十九条、四十条的规定，我公司征得委托人的同意，将标的再行挂牌的，原买受人应支付第一次挂牌中本人及委托人应当支付的佣金，我公司的诉讼费等相关费用。再行挂牌的价款低于原挂牌价款的，原买受人应当补足差额。</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八、标的交割</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买受人在付清全部价款之日起三个工作日内凭《拍卖成交确认书》、交款凭证等相关手续与委托人签订《租赁合同》并进行实物交割。</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rPr>
        <w:t>    </w:t>
      </w:r>
      <w:r>
        <w:rPr>
          <w:rFonts w:hint="eastAsia" w:ascii="仿宋" w:hAnsi="仿宋" w:eastAsia="仿宋" w:cs="仿宋"/>
          <w:i w:val="0"/>
          <w:caps w:val="0"/>
          <w:color w:val="000000"/>
          <w:spacing w:val="0"/>
          <w:sz w:val="30"/>
          <w:szCs w:val="30"/>
          <w:shd w:val="clear" w:fill="FFFFFF"/>
          <w:lang w:val="en-US" w:eastAsia="zh-CN"/>
        </w:rPr>
        <w:t xml:space="preserve"> </w:t>
      </w:r>
      <w:r>
        <w:rPr>
          <w:rFonts w:hint="eastAsia" w:ascii="仿宋" w:hAnsi="仿宋" w:eastAsia="仿宋" w:cs="仿宋"/>
          <w:i w:val="0"/>
          <w:caps w:val="0"/>
          <w:color w:val="000000"/>
          <w:spacing w:val="0"/>
          <w:sz w:val="30"/>
          <w:szCs w:val="30"/>
          <w:shd w:val="clear" w:fill="FFFFFF"/>
        </w:rPr>
        <w:t>由于买受人原因逾期未能签订《租赁合同》或者进行实物交割所造成的一切后果及损失由买受人承担。</w:t>
      </w:r>
      <w:r>
        <w:rPr>
          <w:rFonts w:hint="eastAsia" w:ascii="仿宋" w:hAnsi="仿宋" w:eastAsia="仿宋" w:cs="仿宋"/>
          <w:i w:val="0"/>
          <w:caps w:val="0"/>
          <w:color w:val="000000"/>
          <w:spacing w:val="0"/>
          <w:sz w:val="30"/>
          <w:szCs w:val="30"/>
          <w:shd w:val="clear" w:fill="FFFFFF"/>
        </w:rPr>
        <w:br w:type="textWrapping"/>
      </w:r>
      <w:r>
        <w:rPr>
          <w:rFonts w:hint="eastAsia" w:ascii="仿宋" w:hAnsi="仿宋" w:eastAsia="仿宋" w:cs="仿宋"/>
          <w:i w:val="0"/>
          <w:caps w:val="0"/>
          <w:color w:val="000000"/>
          <w:spacing w:val="0"/>
          <w:sz w:val="30"/>
          <w:szCs w:val="30"/>
          <w:shd w:val="clear" w:fill="FFFFFF"/>
          <w:lang w:val="en-US" w:eastAsia="zh-CN"/>
        </w:rPr>
        <w:t xml:space="preserve">    九、特别说明</w:t>
      </w:r>
    </w:p>
    <w:p>
      <w:pPr>
        <w:numPr>
          <w:ilvl w:val="0"/>
          <w:numId w:val="0"/>
        </w:numPr>
        <w:ind w:firstLine="600" w:firstLineChars="200"/>
        <w:rPr>
          <w:rFonts w:hint="eastAsia"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lang w:val="en-US" w:eastAsia="zh-CN"/>
        </w:rPr>
        <w:t>1、网络交易活动由自由竞价阶段和限时竞价阶段组成。在自由竞价阶段，意向方可以在挂牌价的基础上进行自由报价，限时竞价阶段是在自由竞价产生最高报价的基础上进行的。在限时竞价阶段，当其他意向方有更高报价时，将同时产生新的倒计时竞价时间，直至最后一个限时报价阶段没有更高报价为止，当前报价最高的意向方即为买受人，该标的的竞价结束。</w:t>
      </w:r>
    </w:p>
    <w:p>
      <w:pPr>
        <w:numPr>
          <w:ilvl w:val="0"/>
          <w:numId w:val="0"/>
        </w:numPr>
        <w:ind w:firstLine="600" w:firstLineChars="200"/>
        <w:rPr>
          <w:rFonts w:hint="eastAsia" w:ascii="仿宋" w:hAnsi="仿宋" w:eastAsia="仿宋" w:cs="仿宋"/>
          <w:i w:val="0"/>
          <w:caps w:val="0"/>
          <w:color w:val="000000"/>
          <w:spacing w:val="0"/>
          <w:sz w:val="30"/>
          <w:szCs w:val="30"/>
          <w:shd w:val="clear" w:fill="FFFFFF"/>
          <w:lang w:val="en-US" w:eastAsia="zh-CN"/>
        </w:rPr>
      </w:pPr>
      <w:r>
        <w:rPr>
          <w:rFonts w:hint="eastAsia" w:ascii="仿宋" w:hAnsi="仿宋" w:eastAsia="仿宋" w:cs="仿宋"/>
          <w:i w:val="0"/>
          <w:caps w:val="0"/>
          <w:color w:val="000000"/>
          <w:spacing w:val="0"/>
          <w:sz w:val="30"/>
          <w:szCs w:val="30"/>
          <w:shd w:val="clear" w:fill="FFFFFF"/>
          <w:lang w:val="en-US" w:eastAsia="zh-CN"/>
        </w:rPr>
        <w:t>2、网上交易活动开始前，由于委托方要求或其他方面的原因，致使网上交易活动不能进行，我公司有权中止或终止此次交易活动，并于挂牌中止或终止后由中牟县公共资源交易中心全额无息退回意向方已交纳的竞买保证金，不再承担其他方面的责任和损失。挂牌资料中记载的信息仅作参考，如有偏差，以实际为准，我公司不承担责任。</w:t>
      </w:r>
    </w:p>
    <w:p>
      <w:pPr>
        <w:keepNext w:val="0"/>
        <w:keepLines w:val="0"/>
        <w:widowControl/>
        <w:suppressLineNumbers w:val="0"/>
        <w:ind w:firstLine="600" w:firstLineChars="200"/>
        <w:jc w:val="left"/>
        <w:rPr>
          <w:rFonts w:hint="eastAsia" w:ascii="仿宋" w:hAnsi="仿宋" w:eastAsia="仿宋" w:cs="仿宋"/>
          <w:i w:val="0"/>
          <w:iCs w:val="0"/>
          <w:caps w:val="0"/>
          <w:color w:val="000000"/>
          <w:spacing w:val="0"/>
          <w:kern w:val="0"/>
          <w:sz w:val="30"/>
          <w:szCs w:val="30"/>
          <w:shd w:val="clear" w:fill="FFFFFF"/>
          <w:lang w:val="en-US" w:eastAsia="zh-CN" w:bidi="ar"/>
        </w:rPr>
      </w:pPr>
      <w:r>
        <w:rPr>
          <w:rFonts w:hint="eastAsia" w:ascii="仿宋" w:hAnsi="仿宋" w:eastAsia="仿宋" w:cs="仿宋"/>
          <w:i w:val="0"/>
          <w:iCs w:val="0"/>
          <w:caps w:val="0"/>
          <w:color w:val="000000"/>
          <w:spacing w:val="0"/>
          <w:kern w:val="0"/>
          <w:sz w:val="30"/>
          <w:szCs w:val="30"/>
          <w:shd w:val="clear" w:fill="FFFFFF"/>
          <w:lang w:val="en-US" w:eastAsia="zh-CN" w:bidi="ar"/>
        </w:rPr>
        <w:t>3、挂牌资料中记载的信息、数据仅作参考，如有偏差，以实际为准，不再多退少补，我公司不承担相关责任。</w:t>
      </w:r>
    </w:p>
    <w:p>
      <w:pPr>
        <w:keepNext w:val="0"/>
        <w:keepLines w:val="0"/>
        <w:pageBreakBefore w:val="0"/>
        <w:widowControl w:val="0"/>
        <w:suppressLineNumbers w:val="0"/>
        <w:kinsoku/>
        <w:wordWrap/>
        <w:overflowPunct/>
        <w:topLinePunct w:val="0"/>
        <w:autoSpaceDE/>
        <w:autoSpaceDN/>
        <w:bidi w:val="0"/>
        <w:adjustRightInd/>
        <w:snapToGrid/>
        <w:ind w:firstLine="600" w:firstLineChars="200"/>
        <w:jc w:val="left"/>
        <w:textAlignment w:val="auto"/>
        <w:rPr>
          <w:rFonts w:hint="eastAsia" w:ascii="仿宋" w:hAnsi="仿宋" w:eastAsia="仿宋" w:cs="仿宋"/>
          <w:i w:val="0"/>
          <w:iCs w:val="0"/>
          <w:caps w:val="0"/>
          <w:color w:val="000000"/>
          <w:spacing w:val="0"/>
          <w:kern w:val="0"/>
          <w:sz w:val="30"/>
          <w:szCs w:val="30"/>
          <w:shd w:val="clear" w:fill="FFFFFF"/>
          <w:lang w:val="en-US" w:eastAsia="zh-CN" w:bidi="ar"/>
        </w:rPr>
      </w:pPr>
      <w:r>
        <w:rPr>
          <w:rFonts w:hint="eastAsia" w:ascii="仿宋" w:hAnsi="仿宋" w:eastAsia="仿宋" w:cs="仿宋"/>
          <w:i w:val="0"/>
          <w:iCs w:val="0"/>
          <w:caps w:val="0"/>
          <w:color w:val="000000"/>
          <w:spacing w:val="0"/>
          <w:kern w:val="0"/>
          <w:sz w:val="30"/>
          <w:szCs w:val="30"/>
          <w:shd w:val="clear" w:fill="FFFFFF"/>
          <w:lang w:val="en-US" w:eastAsia="zh-CN" w:bidi="ar"/>
        </w:rPr>
        <w:t>4、买受人每年支付一次房屋租赁费（先交后用），从第二年开始每年在上年度租金基础上增加5%。</w:t>
      </w:r>
    </w:p>
    <w:p>
      <w:pPr>
        <w:keepNext w:val="0"/>
        <w:keepLines w:val="0"/>
        <w:widowControl/>
        <w:suppressLineNumbers w:val="0"/>
        <w:ind w:firstLine="600" w:firstLineChars="200"/>
        <w:jc w:val="left"/>
        <w:rPr>
          <w:rFonts w:hint="eastAsia" w:ascii="仿宋" w:hAnsi="仿宋" w:eastAsia="仿宋" w:cs="仿宋"/>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5、请意向方仔细阅读《竞买须知》《租赁合同》中的有关内容。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河南豫财拍卖有限公司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 w:hAnsi="仿宋" w:eastAsia="仿宋" w:cs="仿宋"/>
          <w:i w:val="0"/>
          <w:iCs w:val="0"/>
          <w:caps w:val="0"/>
          <w:color w:val="000000"/>
          <w:spacing w:val="0"/>
          <w:sz w:val="30"/>
          <w:szCs w:val="30"/>
        </w:rPr>
      </w:pPr>
      <w:r>
        <w:rPr>
          <w:rFonts w:hint="eastAsia" w:ascii="仿宋" w:hAnsi="仿宋" w:eastAsia="仿宋" w:cs="仿宋"/>
          <w:i w:val="0"/>
          <w:iCs w:val="0"/>
          <w:caps w:val="0"/>
          <w:color w:val="000000"/>
          <w:spacing w:val="0"/>
          <w:kern w:val="0"/>
          <w:sz w:val="30"/>
          <w:szCs w:val="30"/>
          <w:shd w:val="clear" w:fill="FFFFFF"/>
          <w:lang w:val="en-US" w:eastAsia="zh-CN" w:bidi="ar"/>
        </w:rPr>
        <w:t>2021年9月30</w:t>
      </w:r>
      <w:bookmarkStart w:id="0" w:name="_GoBack"/>
      <w:bookmarkEnd w:id="0"/>
      <w:r>
        <w:rPr>
          <w:rFonts w:hint="eastAsia" w:ascii="仿宋" w:hAnsi="仿宋" w:eastAsia="仿宋" w:cs="仿宋"/>
          <w:i w:val="0"/>
          <w:iCs w:val="0"/>
          <w:caps w:val="0"/>
          <w:color w:val="000000"/>
          <w:spacing w:val="0"/>
          <w:kern w:val="0"/>
          <w:sz w:val="30"/>
          <w:szCs w:val="30"/>
          <w:shd w:val="clear" w:fill="FFFFFF"/>
          <w:lang w:val="en-US" w:eastAsia="zh-CN" w:bidi="ar"/>
        </w:rPr>
        <w:t>日   </w:t>
      </w:r>
    </w:p>
    <w:p>
      <w:pPr>
        <w:numPr>
          <w:ilvl w:val="0"/>
          <w:numId w:val="0"/>
        </w:numPr>
        <w:ind w:firstLine="600" w:firstLineChars="200"/>
        <w:rPr>
          <w:rFonts w:hint="default" w:ascii="仿宋" w:hAnsi="仿宋" w:eastAsia="仿宋" w:cs="仿宋"/>
          <w:i w:val="0"/>
          <w:caps w:val="0"/>
          <w:color w:val="000000"/>
          <w:spacing w:val="0"/>
          <w:sz w:val="30"/>
          <w:szCs w:val="30"/>
          <w:shd w:val="clear" w:fill="FFFFFF"/>
          <w:lang w:val="en-US" w:eastAsia="zh-CN"/>
        </w:rPr>
      </w:pPr>
    </w:p>
    <w:p>
      <w:pPr>
        <w:rPr>
          <w:rFonts w:hint="default" w:eastAsia="仿宋"/>
          <w:lang w:val="en-US" w:eastAsia="zh-CN"/>
        </w:rPr>
      </w:pPr>
      <w:r>
        <w:rPr>
          <w:rFonts w:hint="eastAsia" w:ascii="仿宋" w:hAnsi="仿宋" w:eastAsia="仿宋" w:cs="仿宋"/>
          <w:i w:val="0"/>
          <w:caps w:val="0"/>
          <w:color w:val="000000"/>
          <w:spacing w:val="0"/>
          <w:sz w:val="30"/>
          <w:szCs w:val="30"/>
          <w:shd w:val="clear" w:fill="FFFFFF"/>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EEFEB"/>
    <w:multiLevelType w:val="singleLevel"/>
    <w:tmpl w:val="8A6EEFEB"/>
    <w:lvl w:ilvl="0" w:tentative="0">
      <w:start w:val="5"/>
      <w:numFmt w:val="chineseCounting"/>
      <w:suff w:val="nothing"/>
      <w:lvlText w:val="%1、"/>
      <w:lvlJc w:val="left"/>
      <w:rPr>
        <w:rFonts w:hint="eastAsia"/>
      </w:rPr>
    </w:lvl>
  </w:abstractNum>
  <w:abstractNum w:abstractNumId="1">
    <w:nsid w:val="F057D4EC"/>
    <w:multiLevelType w:val="singleLevel"/>
    <w:tmpl w:val="F057D4E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A50946"/>
    <w:rsid w:val="01235BFB"/>
    <w:rsid w:val="03895B67"/>
    <w:rsid w:val="22655A34"/>
    <w:rsid w:val="35752FE6"/>
    <w:rsid w:val="3AA50946"/>
    <w:rsid w:val="3D5A0F73"/>
    <w:rsid w:val="52FE469E"/>
    <w:rsid w:val="6E90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2021-09-16T01:25:00Z</dcterms:created>
  <dc:creator>DELL</dc:creator>
  <cp:lastModifiedBy>123</cp:lastModifiedBy>
  <dcterms:modified xsi:type="dcterms:W3CDTF">2021-09-30T07:46:25Z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EE1D8885787A41CAAA3AD574BBABACA8</vt:lpwstr>
  </property>
</Properties>
</file>